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0360" w14:textId="77777777" w:rsidR="0034592C" w:rsidRDefault="0034592C" w:rsidP="0034592C">
      <w:pPr>
        <w:tabs>
          <w:tab w:val="left" w:pos="7875"/>
        </w:tabs>
        <w:jc w:val="center"/>
        <w:rPr>
          <w:b/>
        </w:rPr>
      </w:pPr>
      <w:r>
        <w:rPr>
          <w:b/>
        </w:rPr>
        <w:t xml:space="preserve">PRIJEKAT </w:t>
      </w:r>
      <w:r w:rsidR="00161F86" w:rsidRPr="00161F86">
        <w:rPr>
          <w:b/>
        </w:rPr>
        <w:t xml:space="preserve">OBELEŽAVANJE </w:t>
      </w:r>
    </w:p>
    <w:p w14:paraId="56E1B955" w14:textId="5C6AACEE" w:rsidR="00161F86" w:rsidRPr="00161F86" w:rsidRDefault="00161F86" w:rsidP="0034592C">
      <w:pPr>
        <w:tabs>
          <w:tab w:val="left" w:pos="7875"/>
        </w:tabs>
        <w:jc w:val="center"/>
        <w:rPr>
          <w:b/>
        </w:rPr>
      </w:pPr>
      <w:r w:rsidRPr="00161F86">
        <w:rPr>
          <w:b/>
        </w:rPr>
        <w:t xml:space="preserve">100 GODINA OD ROĐENJA </w:t>
      </w:r>
      <w:r w:rsidR="00C81306">
        <w:rPr>
          <w:b/>
        </w:rPr>
        <w:t xml:space="preserve">VAJARA </w:t>
      </w:r>
      <w:r w:rsidRPr="00161F86">
        <w:rPr>
          <w:b/>
        </w:rPr>
        <w:t>NANDORA GLIDA</w:t>
      </w:r>
    </w:p>
    <w:p w14:paraId="2C8FC5A6" w14:textId="77777777" w:rsidR="00161F86" w:rsidRPr="00161F86" w:rsidRDefault="00161F86" w:rsidP="00161F86">
      <w:pPr>
        <w:tabs>
          <w:tab w:val="left" w:pos="7875"/>
        </w:tabs>
        <w:rPr>
          <w:b/>
        </w:rPr>
      </w:pPr>
    </w:p>
    <w:p w14:paraId="229E4DFE" w14:textId="78E2CBDB" w:rsidR="00161F86" w:rsidRPr="00161F86" w:rsidRDefault="00161F86" w:rsidP="00161F86">
      <w:pPr>
        <w:tabs>
          <w:tab w:val="left" w:pos="7875"/>
        </w:tabs>
        <w:spacing w:line="360" w:lineRule="auto"/>
        <w:jc w:val="both"/>
        <w:rPr>
          <w:b/>
        </w:rPr>
      </w:pPr>
      <w:r w:rsidRPr="00161F86">
        <w:rPr>
          <w:b/>
        </w:rPr>
        <w:t xml:space="preserve">Memorijalna kosmisija JOB je u svoj preliminarni godišnji plan rada </w:t>
      </w:r>
      <w:r w:rsidR="0034592C">
        <w:rPr>
          <w:b/>
        </w:rPr>
        <w:t xml:space="preserve">za 2024. </w:t>
      </w:r>
      <w:r w:rsidRPr="00161F86">
        <w:rPr>
          <w:b/>
        </w:rPr>
        <w:t>uključila obeležavanje stogodišnjice od rođenja vajara Nandora Glida. Ideja je bila da se održi veče posvećeno Glidu, ali pošto se članovi MK nisu angazovali u tom smislu, Davor Salom je zamolio zaposlene Jevrejskog istorijskog muzeja za pomoć. Ono što su zaposleni ponudili je da, van svog godišnjeg plana, izlože umetnička dela koja poseduju</w:t>
      </w:r>
      <w:r w:rsidR="009B3B35">
        <w:rPr>
          <w:b/>
        </w:rPr>
        <w:t>,</w:t>
      </w:r>
      <w:r w:rsidRPr="00161F86">
        <w:rPr>
          <w:b/>
        </w:rPr>
        <w:t xml:space="preserve"> da nap</w:t>
      </w:r>
      <w:r w:rsidR="009B3B35">
        <w:rPr>
          <w:b/>
        </w:rPr>
        <w:t>i</w:t>
      </w:r>
      <w:r w:rsidRPr="00161F86">
        <w:rPr>
          <w:b/>
        </w:rPr>
        <w:t>š</w:t>
      </w:r>
      <w:r w:rsidR="0034592C">
        <w:rPr>
          <w:b/>
        </w:rPr>
        <w:t>u</w:t>
      </w:r>
      <w:r w:rsidRPr="00161F86">
        <w:rPr>
          <w:b/>
        </w:rPr>
        <w:t xml:space="preserve"> tekst za jedan informativni katalog izloženih radov</w:t>
      </w:r>
      <w:r w:rsidR="009B3B35">
        <w:rPr>
          <w:b/>
        </w:rPr>
        <w:t>a</w:t>
      </w:r>
      <w:r w:rsidRPr="00161F86">
        <w:rPr>
          <w:b/>
        </w:rPr>
        <w:t xml:space="preserve"> i obezbede opremu za izložbu. Dogovor sa zaposlenima JIM je bio da ostale troškove snosi JOB. Sv</w:t>
      </w:r>
      <w:r w:rsidR="009B3B35">
        <w:rPr>
          <w:b/>
        </w:rPr>
        <w:t>e</w:t>
      </w:r>
      <w:r w:rsidRPr="00161F86">
        <w:rPr>
          <w:b/>
        </w:rPr>
        <w:t xml:space="preserve"> vezano za izložbu zaposleni JIM-a rade volonterski, bez ikakve finansijske nadoknade. </w:t>
      </w:r>
    </w:p>
    <w:p w14:paraId="2C32F919" w14:textId="77777777" w:rsidR="00161F86" w:rsidRPr="00161F86" w:rsidRDefault="00161F86" w:rsidP="00161F86">
      <w:pPr>
        <w:tabs>
          <w:tab w:val="left" w:pos="7875"/>
        </w:tabs>
        <w:spacing w:line="360" w:lineRule="auto"/>
        <w:jc w:val="both"/>
        <w:rPr>
          <w:b/>
        </w:rPr>
      </w:pPr>
    </w:p>
    <w:p w14:paraId="5995C606" w14:textId="77777777" w:rsidR="00161F86" w:rsidRPr="00161F86" w:rsidRDefault="00161F86" w:rsidP="00161F86">
      <w:pPr>
        <w:tabs>
          <w:tab w:val="left" w:pos="7875"/>
        </w:tabs>
        <w:spacing w:line="360" w:lineRule="auto"/>
        <w:rPr>
          <w:b/>
        </w:rPr>
      </w:pPr>
      <w:r w:rsidRPr="00161F86">
        <w:rPr>
          <w:b/>
        </w:rPr>
        <w:t>OPIS PROJEKTA</w:t>
      </w:r>
    </w:p>
    <w:p w14:paraId="61DABEE0" w14:textId="12C374C7" w:rsidR="00161F86" w:rsidRPr="00161F86" w:rsidRDefault="00161F86" w:rsidP="00161F86">
      <w:pPr>
        <w:tabs>
          <w:tab w:val="left" w:pos="7875"/>
        </w:tabs>
        <w:spacing w:line="360" w:lineRule="auto"/>
        <w:rPr>
          <w:b/>
        </w:rPr>
      </w:pPr>
      <w:r w:rsidRPr="00161F86">
        <w:rPr>
          <w:b/>
        </w:rPr>
        <w:t>Projekat podrazumeva izložbu pod nazivom „Nandor Glid – 100 godina od rođenja“. Na izložbi će biti izloženo 5 vajarski</w:t>
      </w:r>
      <w:r w:rsidR="0034592C">
        <w:rPr>
          <w:b/>
        </w:rPr>
        <w:t xml:space="preserve">h </w:t>
      </w:r>
      <w:r w:rsidRPr="00161F86">
        <w:rPr>
          <w:b/>
        </w:rPr>
        <w:t xml:space="preserve"> i 12 grafičkih dela Nandora Glida iz Likovne zbirke JIM-a. Izložba će biti postavljena u foajeu JIM-a. Izložbu prati informativni dvoje</w:t>
      </w:r>
      <w:r w:rsidR="0034592C">
        <w:rPr>
          <w:b/>
        </w:rPr>
        <w:t>zi</w:t>
      </w:r>
      <w:r w:rsidRPr="00161F86">
        <w:rPr>
          <w:b/>
        </w:rPr>
        <w:t xml:space="preserve">čni  katalog. Na otvaranju će govoriti </w:t>
      </w:r>
      <w:r w:rsidR="0034592C">
        <w:rPr>
          <w:b/>
        </w:rPr>
        <w:t>autor izlozbe,</w:t>
      </w:r>
      <w:r w:rsidRPr="00161F86">
        <w:rPr>
          <w:b/>
        </w:rPr>
        <w:t xml:space="preserve"> zaposlen</w:t>
      </w:r>
      <w:r w:rsidR="0034592C">
        <w:rPr>
          <w:b/>
        </w:rPr>
        <w:t xml:space="preserve"> u</w:t>
      </w:r>
      <w:r w:rsidRPr="00161F86">
        <w:rPr>
          <w:b/>
        </w:rPr>
        <w:t xml:space="preserve"> JIM, Davor Salom i </w:t>
      </w:r>
      <w:r w:rsidR="0034592C">
        <w:rPr>
          <w:b/>
        </w:rPr>
        <w:t xml:space="preserve">sin </w:t>
      </w:r>
      <w:r w:rsidRPr="00161F86">
        <w:rPr>
          <w:b/>
        </w:rPr>
        <w:t>Nandor</w:t>
      </w:r>
      <w:r w:rsidR="0034592C">
        <w:rPr>
          <w:b/>
        </w:rPr>
        <w:t>a</w:t>
      </w:r>
      <w:r w:rsidRPr="00161F86">
        <w:rPr>
          <w:b/>
        </w:rPr>
        <w:t xml:space="preserve"> Glid</w:t>
      </w:r>
      <w:r w:rsidR="0034592C">
        <w:rPr>
          <w:b/>
        </w:rPr>
        <w:t>a, Gabriel</w:t>
      </w:r>
      <w:r w:rsidRPr="00161F86">
        <w:rPr>
          <w:b/>
        </w:rPr>
        <w:t>.</w:t>
      </w:r>
    </w:p>
    <w:p w14:paraId="003AEF99" w14:textId="77777777" w:rsidR="00161F86" w:rsidRPr="00161F86" w:rsidRDefault="00161F86" w:rsidP="00161F86">
      <w:pPr>
        <w:tabs>
          <w:tab w:val="left" w:pos="7875"/>
        </w:tabs>
        <w:spacing w:line="360" w:lineRule="auto"/>
        <w:jc w:val="both"/>
        <w:rPr>
          <w:b/>
        </w:rPr>
      </w:pPr>
    </w:p>
    <w:p w14:paraId="779EF132" w14:textId="1E31C34B" w:rsidR="00161F86" w:rsidRPr="00161F86" w:rsidRDefault="00161F86" w:rsidP="00161F86">
      <w:pPr>
        <w:tabs>
          <w:tab w:val="left" w:pos="7875"/>
        </w:tabs>
        <w:spacing w:line="360" w:lineRule="auto"/>
        <w:jc w:val="both"/>
        <w:rPr>
          <w:b/>
        </w:rPr>
      </w:pPr>
      <w:r w:rsidRPr="00161F86">
        <w:rPr>
          <w:b/>
        </w:rPr>
        <w:t>SPISAK UČESNIKA PROJEKTA</w:t>
      </w:r>
    </w:p>
    <w:p w14:paraId="70F6A531" w14:textId="6F64DDDC" w:rsidR="00161F86" w:rsidRPr="00161F86" w:rsidRDefault="00161F86" w:rsidP="00161F86">
      <w:pPr>
        <w:pStyle w:val="ListParagraph"/>
        <w:numPr>
          <w:ilvl w:val="0"/>
          <w:numId w:val="1"/>
        </w:numPr>
        <w:tabs>
          <w:tab w:val="left" w:pos="7875"/>
        </w:tabs>
        <w:spacing w:line="360" w:lineRule="auto"/>
        <w:jc w:val="both"/>
        <w:rPr>
          <w:b/>
        </w:rPr>
      </w:pPr>
      <w:r w:rsidRPr="00161F86">
        <w:rPr>
          <w:b/>
        </w:rPr>
        <w:t>Barbara Panić, kustos JIMa – autor kataloga, dizajn i priprema za štampu kataloga i pozivnice, postavka izložbe (idejni i tehnički deo)</w:t>
      </w:r>
    </w:p>
    <w:p w14:paraId="4CA0B78A" w14:textId="77777777" w:rsidR="00161F86" w:rsidRPr="00161F86" w:rsidRDefault="00161F86" w:rsidP="00161F86">
      <w:pPr>
        <w:pStyle w:val="ListParagraph"/>
        <w:numPr>
          <w:ilvl w:val="0"/>
          <w:numId w:val="1"/>
        </w:numPr>
        <w:tabs>
          <w:tab w:val="left" w:pos="7875"/>
        </w:tabs>
        <w:spacing w:line="360" w:lineRule="auto"/>
        <w:jc w:val="both"/>
        <w:rPr>
          <w:b/>
        </w:rPr>
      </w:pPr>
      <w:r w:rsidRPr="00161F86">
        <w:rPr>
          <w:b/>
        </w:rPr>
        <w:t>Bojan Zorić, arhivista JIMa – postavka izložbe (idejni i tehnički deo)</w:t>
      </w:r>
    </w:p>
    <w:p w14:paraId="399698B0" w14:textId="5FEE2795" w:rsidR="00161F86" w:rsidRDefault="00161F86" w:rsidP="00161F86">
      <w:pPr>
        <w:pStyle w:val="ListParagraph"/>
        <w:numPr>
          <w:ilvl w:val="0"/>
          <w:numId w:val="1"/>
        </w:numPr>
        <w:tabs>
          <w:tab w:val="left" w:pos="7875"/>
        </w:tabs>
        <w:spacing w:line="360" w:lineRule="auto"/>
        <w:jc w:val="both"/>
        <w:rPr>
          <w:b/>
        </w:rPr>
      </w:pPr>
      <w:r w:rsidRPr="00161F86">
        <w:rPr>
          <w:b/>
        </w:rPr>
        <w:t>Davor Salom, MK JOBa – organizacioni poslovi</w:t>
      </w:r>
    </w:p>
    <w:p w14:paraId="4DB6B908" w14:textId="26F6B0E7" w:rsidR="0034592C" w:rsidRPr="00161F86" w:rsidRDefault="0034592C" w:rsidP="00161F86">
      <w:pPr>
        <w:pStyle w:val="ListParagraph"/>
        <w:numPr>
          <w:ilvl w:val="0"/>
          <w:numId w:val="1"/>
        </w:numPr>
        <w:tabs>
          <w:tab w:val="left" w:pos="7875"/>
        </w:tabs>
        <w:spacing w:line="360" w:lineRule="auto"/>
        <w:jc w:val="both"/>
        <w:rPr>
          <w:b/>
        </w:rPr>
      </w:pPr>
      <w:r>
        <w:rPr>
          <w:b/>
        </w:rPr>
        <w:t>Raka Levi - koordinator projekta</w:t>
      </w:r>
    </w:p>
    <w:p w14:paraId="4DEAF724" w14:textId="77777777" w:rsidR="00161F86" w:rsidRPr="00161F86" w:rsidRDefault="00161F86"/>
    <w:p w14:paraId="2365BD27" w14:textId="4CAE1867" w:rsidR="00F30C04" w:rsidRPr="00161F86" w:rsidRDefault="00161F86">
      <w:pPr>
        <w:rPr>
          <w:b/>
          <w:bCs/>
        </w:rPr>
      </w:pPr>
      <w:r w:rsidRPr="00161F86">
        <w:rPr>
          <w:b/>
          <w:bCs/>
        </w:rPr>
        <w:t>DETALJNA FINANSIJSKA SPECIFIKACIJA</w:t>
      </w:r>
    </w:p>
    <w:p w14:paraId="16626C75" w14:textId="77777777" w:rsidR="00161F86" w:rsidRPr="00161F86" w:rsidRDefault="00161F8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1F86" w:rsidRPr="00161F86" w14:paraId="7902BBFF" w14:textId="77777777" w:rsidTr="00161F86">
        <w:tc>
          <w:tcPr>
            <w:tcW w:w="3116" w:type="dxa"/>
          </w:tcPr>
          <w:p w14:paraId="5F67CD61" w14:textId="2F375B6D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VRSTA POSLA</w:t>
            </w:r>
          </w:p>
        </w:tc>
        <w:tc>
          <w:tcPr>
            <w:tcW w:w="3117" w:type="dxa"/>
          </w:tcPr>
          <w:p w14:paraId="2C3EDB1B" w14:textId="7ACBAB2A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FINANSIJSKA SREDSTVA</w:t>
            </w:r>
          </w:p>
        </w:tc>
        <w:tc>
          <w:tcPr>
            <w:tcW w:w="3117" w:type="dxa"/>
          </w:tcPr>
          <w:p w14:paraId="02685E9F" w14:textId="3859F0C4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NAPOMENE</w:t>
            </w:r>
          </w:p>
        </w:tc>
      </w:tr>
      <w:tr w:rsidR="00161F86" w:rsidRPr="00161F86" w14:paraId="1C13E8DA" w14:textId="77777777" w:rsidTr="00161F86">
        <w:tc>
          <w:tcPr>
            <w:tcW w:w="3116" w:type="dxa"/>
          </w:tcPr>
          <w:p w14:paraId="6BC01FF6" w14:textId="77777777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Postamenti za skulptorska dela – (5 kom)</w:t>
            </w:r>
          </w:p>
          <w:p w14:paraId="48E32442" w14:textId="77777777" w:rsid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Firma TEHNOKOOP, Beograd</w:t>
            </w:r>
          </w:p>
          <w:p w14:paraId="44A294B0" w14:textId="32103F15" w:rsidR="00972984" w:rsidRPr="00161F86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9CE5827" w14:textId="77777777" w:rsidR="00161F86" w:rsidRPr="00161F86" w:rsidRDefault="00161F86">
            <w:pPr>
              <w:rPr>
                <w:b/>
                <w:bCs/>
              </w:rPr>
            </w:pPr>
          </w:p>
          <w:p w14:paraId="2C2EF71C" w14:textId="26283EDE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56.370,00 RSD</w:t>
            </w:r>
            <w:r w:rsidR="00972984">
              <w:rPr>
                <w:b/>
                <w:bCs/>
              </w:rPr>
              <w:t xml:space="preserve"> + pdv</w:t>
            </w:r>
          </w:p>
        </w:tc>
        <w:tc>
          <w:tcPr>
            <w:tcW w:w="3117" w:type="dxa"/>
          </w:tcPr>
          <w:p w14:paraId="76E8FB4C" w14:textId="77777777" w:rsidR="00161F86" w:rsidRPr="00161F86" w:rsidRDefault="00161F86">
            <w:pPr>
              <w:rPr>
                <w:b/>
                <w:bCs/>
              </w:rPr>
            </w:pPr>
          </w:p>
          <w:p w14:paraId="20CAB87A" w14:textId="5421251D" w:rsidR="00161F86" w:rsidRPr="00161F86" w:rsidRDefault="00161F86">
            <w:pPr>
              <w:rPr>
                <w:b/>
                <w:bCs/>
              </w:rPr>
            </w:pPr>
            <w:r w:rsidRPr="00161F86">
              <w:rPr>
                <w:b/>
                <w:bCs/>
              </w:rPr>
              <w:t>Finansira SJOS</w:t>
            </w:r>
            <w:r w:rsidR="0034592C">
              <w:rPr>
                <w:b/>
                <w:bCs/>
              </w:rPr>
              <w:t>/ JIM</w:t>
            </w:r>
          </w:p>
        </w:tc>
      </w:tr>
      <w:tr w:rsidR="00161F86" w:rsidRPr="00161F86" w14:paraId="53C12DE7" w14:textId="77777777" w:rsidTr="00161F86">
        <w:tc>
          <w:tcPr>
            <w:tcW w:w="3116" w:type="dxa"/>
          </w:tcPr>
          <w:p w14:paraId="1970DBB9" w14:textId="5D0D1F22" w:rsidR="00161F86" w:rsidRDefault="00161F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Skeniranje 12 grafika (4 po izboru autora izložbe će ući u katalog)</w:t>
            </w:r>
            <w:r w:rsidR="009B3B35">
              <w:rPr>
                <w:b/>
                <w:bCs/>
              </w:rPr>
              <w:t>, Fotokopirnica SKRIPTA</w:t>
            </w:r>
          </w:p>
          <w:p w14:paraId="40EB142B" w14:textId="4CA29999" w:rsidR="00972984" w:rsidRPr="00161F86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A76AB3F" w14:textId="77777777" w:rsidR="00161F86" w:rsidRDefault="00161F86">
            <w:pPr>
              <w:rPr>
                <w:b/>
                <w:bCs/>
              </w:rPr>
            </w:pPr>
          </w:p>
          <w:p w14:paraId="08E1E042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3.000,00 RSD</w:t>
            </w:r>
          </w:p>
          <w:p w14:paraId="15719ADA" w14:textId="09F1393A" w:rsidR="009B3B35" w:rsidRPr="00161F86" w:rsidRDefault="009B3B35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FB90C55" w14:textId="77777777" w:rsidR="00161F86" w:rsidRDefault="00161F86">
            <w:pPr>
              <w:rPr>
                <w:b/>
                <w:bCs/>
              </w:rPr>
            </w:pPr>
          </w:p>
          <w:p w14:paraId="424E5FE2" w14:textId="487B7A35" w:rsidR="00972984" w:rsidRPr="00161F86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Finansira JOB</w:t>
            </w:r>
            <w:r w:rsidR="0034592C">
              <w:rPr>
                <w:b/>
                <w:bCs/>
              </w:rPr>
              <w:t>/MK</w:t>
            </w:r>
          </w:p>
        </w:tc>
      </w:tr>
      <w:tr w:rsidR="00161F86" w:rsidRPr="00161F86" w14:paraId="2D1A0266" w14:textId="77777777" w:rsidTr="00161F86">
        <w:tc>
          <w:tcPr>
            <w:tcW w:w="3116" w:type="dxa"/>
          </w:tcPr>
          <w:p w14:paraId="0739A272" w14:textId="61649A66" w:rsidR="00161F86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Prevod teksta katalog</w:t>
            </w:r>
            <w:r w:rsidR="009B3B35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na egleski jezik </w:t>
            </w:r>
          </w:p>
          <w:p w14:paraId="350AD7BA" w14:textId="68BC88E1" w:rsidR="00972984" w:rsidRPr="00161F86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C0D7164" w14:textId="77777777" w:rsidR="00161F86" w:rsidRDefault="00161F86">
            <w:pPr>
              <w:rPr>
                <w:b/>
                <w:bCs/>
              </w:rPr>
            </w:pPr>
          </w:p>
          <w:p w14:paraId="7C02C81E" w14:textId="40EF396C" w:rsidR="00972984" w:rsidRPr="00161F86" w:rsidRDefault="00A81B6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4592C">
              <w:rPr>
                <w:b/>
                <w:bCs/>
              </w:rPr>
              <w:t>,</w:t>
            </w:r>
            <w:r w:rsidR="00972984">
              <w:rPr>
                <w:b/>
                <w:bCs/>
              </w:rPr>
              <w:t>000, 00 RSD</w:t>
            </w:r>
          </w:p>
        </w:tc>
        <w:tc>
          <w:tcPr>
            <w:tcW w:w="3117" w:type="dxa"/>
          </w:tcPr>
          <w:p w14:paraId="4EACFE67" w14:textId="77777777" w:rsidR="00972984" w:rsidRDefault="00972984">
            <w:pPr>
              <w:rPr>
                <w:b/>
                <w:bCs/>
              </w:rPr>
            </w:pPr>
          </w:p>
          <w:p w14:paraId="11C42707" w14:textId="192B1A6F" w:rsidR="00161F86" w:rsidRPr="00161F86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Finansira JOB</w:t>
            </w:r>
            <w:r w:rsidR="0034592C">
              <w:rPr>
                <w:b/>
                <w:bCs/>
              </w:rPr>
              <w:t>/MK</w:t>
            </w:r>
          </w:p>
        </w:tc>
      </w:tr>
      <w:tr w:rsidR="00972984" w:rsidRPr="00161F86" w14:paraId="16FD716A" w14:textId="77777777" w:rsidTr="00161F86">
        <w:tc>
          <w:tcPr>
            <w:tcW w:w="3116" w:type="dxa"/>
          </w:tcPr>
          <w:p w14:paraId="119F5A2F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Štampa kataloga – štamparija LION, Beograd</w:t>
            </w:r>
          </w:p>
          <w:p w14:paraId="6897A8C7" w14:textId="686FF4AA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FE1A6E9" w14:textId="77777777" w:rsidR="00972984" w:rsidRDefault="00972984">
            <w:pPr>
              <w:rPr>
                <w:b/>
                <w:bCs/>
              </w:rPr>
            </w:pPr>
          </w:p>
          <w:p w14:paraId="1D32CE49" w14:textId="1DB981A1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30.000, 00 RSD</w:t>
            </w:r>
          </w:p>
        </w:tc>
        <w:tc>
          <w:tcPr>
            <w:tcW w:w="3117" w:type="dxa"/>
          </w:tcPr>
          <w:p w14:paraId="78DEC45D" w14:textId="77777777" w:rsidR="00972984" w:rsidRDefault="00972984">
            <w:pPr>
              <w:rPr>
                <w:b/>
                <w:bCs/>
              </w:rPr>
            </w:pPr>
          </w:p>
          <w:p w14:paraId="412080E4" w14:textId="4F8A2D61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Finansira JOB</w:t>
            </w:r>
            <w:r w:rsidR="0034592C">
              <w:rPr>
                <w:b/>
                <w:bCs/>
              </w:rPr>
              <w:t>/MK</w:t>
            </w:r>
          </w:p>
        </w:tc>
      </w:tr>
      <w:tr w:rsidR="00972984" w:rsidRPr="00161F86" w14:paraId="50A7BFBC" w14:textId="77777777" w:rsidTr="00161F86">
        <w:tc>
          <w:tcPr>
            <w:tcW w:w="3116" w:type="dxa"/>
          </w:tcPr>
          <w:p w14:paraId="1ADF15AA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Tekst za katalog</w:t>
            </w:r>
          </w:p>
          <w:p w14:paraId="575A60EF" w14:textId="237CAA87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1459FA5" w14:textId="6D5183EA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70A4938" w14:textId="345D3B4C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JIM </w:t>
            </w:r>
            <w:r w:rsidR="009B3B35">
              <w:rPr>
                <w:b/>
                <w:bCs/>
              </w:rPr>
              <w:t xml:space="preserve">zaposleni </w:t>
            </w:r>
            <w:r>
              <w:rPr>
                <w:b/>
                <w:bCs/>
              </w:rPr>
              <w:t>volonterski</w:t>
            </w:r>
          </w:p>
        </w:tc>
      </w:tr>
      <w:tr w:rsidR="00972984" w:rsidRPr="00161F86" w14:paraId="00766876" w14:textId="77777777" w:rsidTr="00161F86">
        <w:tc>
          <w:tcPr>
            <w:tcW w:w="3116" w:type="dxa"/>
          </w:tcPr>
          <w:p w14:paraId="41FBA0B8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Dizajn kataloga</w:t>
            </w:r>
          </w:p>
          <w:p w14:paraId="2F6024DF" w14:textId="2F7A80A5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6735316" w14:textId="77777777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1471ED3" w14:textId="5847B612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JIM </w:t>
            </w:r>
            <w:r w:rsidR="009B3B35">
              <w:rPr>
                <w:b/>
                <w:bCs/>
              </w:rPr>
              <w:t xml:space="preserve">zaposleni </w:t>
            </w:r>
            <w:r>
              <w:rPr>
                <w:b/>
                <w:bCs/>
              </w:rPr>
              <w:t>volonterski</w:t>
            </w:r>
          </w:p>
        </w:tc>
      </w:tr>
      <w:tr w:rsidR="00972984" w:rsidRPr="00161F86" w14:paraId="365BC1B6" w14:textId="77777777" w:rsidTr="00161F86">
        <w:tc>
          <w:tcPr>
            <w:tcW w:w="3116" w:type="dxa"/>
          </w:tcPr>
          <w:p w14:paraId="037BCBC6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Priprema za štampu</w:t>
            </w:r>
          </w:p>
          <w:p w14:paraId="53ABAC76" w14:textId="0F3BDDFC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C040BBF" w14:textId="77777777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2439945" w14:textId="32F7C66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JIM </w:t>
            </w:r>
            <w:r w:rsidR="009B3B35">
              <w:rPr>
                <w:b/>
                <w:bCs/>
              </w:rPr>
              <w:t xml:space="preserve">zaposleni </w:t>
            </w:r>
            <w:r>
              <w:rPr>
                <w:b/>
                <w:bCs/>
              </w:rPr>
              <w:t>volonterski</w:t>
            </w:r>
          </w:p>
        </w:tc>
      </w:tr>
      <w:tr w:rsidR="00972984" w:rsidRPr="00161F86" w14:paraId="7D80B4EE" w14:textId="77777777" w:rsidTr="00161F86">
        <w:tc>
          <w:tcPr>
            <w:tcW w:w="3116" w:type="dxa"/>
          </w:tcPr>
          <w:p w14:paraId="654CFB58" w14:textId="7777777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Tehnička postavka izložbe</w:t>
            </w:r>
          </w:p>
          <w:p w14:paraId="4F7B4DB5" w14:textId="4DAA436A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860EB40" w14:textId="77777777" w:rsidR="00972984" w:rsidRDefault="00972984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92DCF90" w14:textId="1E1EFE87" w:rsidR="00972984" w:rsidRDefault="00972984">
            <w:pPr>
              <w:rPr>
                <w:b/>
                <w:bCs/>
              </w:rPr>
            </w:pPr>
            <w:r>
              <w:rPr>
                <w:b/>
                <w:bCs/>
              </w:rPr>
              <w:t>JIM</w:t>
            </w:r>
            <w:r w:rsidR="009B3B35">
              <w:rPr>
                <w:b/>
                <w:bCs/>
              </w:rPr>
              <w:t xml:space="preserve"> zaposleni volonterski</w:t>
            </w:r>
          </w:p>
        </w:tc>
      </w:tr>
      <w:tr w:rsidR="0034592C" w:rsidRPr="00161F86" w14:paraId="32BC01C9" w14:textId="77777777" w:rsidTr="00161F86">
        <w:tc>
          <w:tcPr>
            <w:tcW w:w="3116" w:type="dxa"/>
          </w:tcPr>
          <w:p w14:paraId="6D1F230D" w14:textId="7F51CBB5" w:rsidR="0034592C" w:rsidRDefault="0034592C">
            <w:pPr>
              <w:rPr>
                <w:b/>
                <w:bCs/>
              </w:rPr>
            </w:pPr>
            <w:r>
              <w:rPr>
                <w:b/>
                <w:bCs/>
              </w:rPr>
              <w:t>Organizacioni poslovi</w:t>
            </w:r>
          </w:p>
        </w:tc>
        <w:tc>
          <w:tcPr>
            <w:tcW w:w="3117" w:type="dxa"/>
          </w:tcPr>
          <w:p w14:paraId="5E909099" w14:textId="77777777" w:rsidR="0034592C" w:rsidRDefault="0034592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B08268E" w14:textId="10B7C728" w:rsidR="0034592C" w:rsidRDefault="0034592C">
            <w:pPr>
              <w:rPr>
                <w:b/>
                <w:bCs/>
              </w:rPr>
            </w:pPr>
            <w:r>
              <w:rPr>
                <w:b/>
                <w:bCs/>
              </w:rPr>
              <w:t>Davor Salom volonterski</w:t>
            </w:r>
          </w:p>
        </w:tc>
      </w:tr>
    </w:tbl>
    <w:p w14:paraId="452050C4" w14:textId="77777777" w:rsidR="00161F86" w:rsidRDefault="00161F86">
      <w:pPr>
        <w:rPr>
          <w:b/>
          <w:bCs/>
        </w:rPr>
      </w:pPr>
    </w:p>
    <w:p w14:paraId="5E20F758" w14:textId="5E85F757" w:rsidR="009B3B35" w:rsidRDefault="009B3B35">
      <w:pPr>
        <w:rPr>
          <w:b/>
          <w:bCs/>
        </w:rPr>
      </w:pPr>
      <w:r>
        <w:rPr>
          <w:b/>
          <w:bCs/>
        </w:rPr>
        <w:t>Napomena:</w:t>
      </w:r>
    </w:p>
    <w:p w14:paraId="3508D2D5" w14:textId="41D691EB" w:rsidR="009B3B35" w:rsidRDefault="009B3B35" w:rsidP="009B3B3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JIM dostavlja JOBu račun za skeniranje 12 grafika</w:t>
      </w:r>
    </w:p>
    <w:p w14:paraId="65C7241C" w14:textId="521445A5" w:rsidR="009B3B35" w:rsidRDefault="009B3B35" w:rsidP="009B3B3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JIM dostavlja JOBu račun za štampanje kataloga</w:t>
      </w:r>
    </w:p>
    <w:p w14:paraId="6649AA25" w14:textId="37B91ACD" w:rsidR="00A81B6F" w:rsidRPr="009B3B35" w:rsidRDefault="00A81B6F" w:rsidP="009B3B3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Prevodilac </w:t>
      </w:r>
      <w:r>
        <w:rPr>
          <w:b/>
          <w:bCs/>
        </w:rPr>
        <w:t>dostavlja JOBu račun</w:t>
      </w:r>
      <w:r>
        <w:rPr>
          <w:b/>
          <w:bCs/>
        </w:rPr>
        <w:t xml:space="preserve"> za usluge</w:t>
      </w:r>
    </w:p>
    <w:sectPr w:rsidR="00A81B6F" w:rsidRPr="009B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5A73"/>
    <w:multiLevelType w:val="hybridMultilevel"/>
    <w:tmpl w:val="728E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072"/>
    <w:multiLevelType w:val="hybridMultilevel"/>
    <w:tmpl w:val="E63C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9926">
    <w:abstractNumId w:val="0"/>
  </w:num>
  <w:num w:numId="2" w16cid:durableId="135635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04"/>
    <w:rsid w:val="00161F86"/>
    <w:rsid w:val="002F508A"/>
    <w:rsid w:val="0034592C"/>
    <w:rsid w:val="006C7DE9"/>
    <w:rsid w:val="00972984"/>
    <w:rsid w:val="00976CE5"/>
    <w:rsid w:val="009B3B35"/>
    <w:rsid w:val="00A81B6F"/>
    <w:rsid w:val="00C81306"/>
    <w:rsid w:val="00F24541"/>
    <w:rsid w:val="00F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8307"/>
  <w15:chartTrackingRefBased/>
  <w15:docId w15:val="{D85C9E18-3CE0-4F26-AB88-8ADEC93F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86"/>
    <w:pPr>
      <w:spacing w:after="0" w:line="240" w:lineRule="auto"/>
    </w:pPr>
    <w:rPr>
      <w:rFonts w:ascii="Times New Roman" w:eastAsia="Times New Roman" w:hAnsi="Times New Roman" w:cs="Times New Roman"/>
      <w:kern w:val="0"/>
      <w:lang w:val="sr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C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Barbi</dc:creator>
  <cp:keywords/>
  <dc:description/>
  <cp:lastModifiedBy>Barbi Barbi</cp:lastModifiedBy>
  <cp:revision>3</cp:revision>
  <dcterms:created xsi:type="dcterms:W3CDTF">2024-11-30T14:18:00Z</dcterms:created>
  <dcterms:modified xsi:type="dcterms:W3CDTF">2024-11-30T18:20:00Z</dcterms:modified>
</cp:coreProperties>
</file>